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Inter Regular Bold" w:cs="Inter Regular Bold" w:hAnsi="Inter Regular Bold" w:eastAsia="Inter Regular Bold"/>
          <w:sz w:val="30"/>
          <w:szCs w:val="30"/>
        </w:rPr>
      </w:pPr>
      <w:r>
        <w:rPr>
          <w:rFonts w:ascii="Inter Regular Bold" w:hAnsi="Inter Regular Bold"/>
          <w:sz w:val="30"/>
          <w:szCs w:val="30"/>
          <w:rtl w:val="0"/>
        </w:rPr>
        <w:t>AARON TATE</w:t>
      </w:r>
    </w:p>
    <w:p>
      <w:pPr>
        <w:pStyle w:val="Body"/>
        <w:spacing w:after="6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Director, User Experience Design &amp; Research</w:t>
      </w:r>
    </w:p>
    <w:p>
      <w:pPr>
        <w:pStyle w:val="Body"/>
        <w:spacing w:after="200"/>
        <w:jc w:val="center"/>
      </w:pPr>
      <w:r>
        <w:rPr>
          <w:rtl w:val="0"/>
          <w:lang w:val="de-DE"/>
        </w:rPr>
        <w:t>Salt Lake City, Utah  |  linkedin.com/in/aarontatertot  |  tateux.com  |  aarontate@me.com  |  415-336-8302</w:t>
      </w:r>
    </w:p>
    <w:p>
      <w:pPr>
        <w:pStyle w:val="Body"/>
        <w:spacing w:after="120"/>
      </w:pPr>
      <w:r>
        <w:rPr>
          <w:rtl w:val="0"/>
          <w:lang w:val="en-US"/>
        </w:rPr>
        <w:t xml:space="preserve">UX executive with 20+ years building design and research organizations that shape product strategy and business outcomes. Joined CHG Healthcare as the first UX hire and scaled the function to 21 people on a $3.25M budget, advancing maturity from Level 1 to Level </w:t>
      </w:r>
      <w:r>
        <w:rPr>
          <w:rtl w:val="0"/>
        </w:rPr>
        <w:t>5</w:t>
      </w:r>
      <w:r>
        <w:rPr>
          <w:rtl w:val="0"/>
          <w:lang w:val="en-US"/>
        </w:rPr>
        <w:t xml:space="preserve"> (NN/g). Architected an enterprise design system projected to deliver $19M in annual velocity value. Currently authoring an AI-forward squad model and Experience Architect role rolling out across the digital marketing organization.</w:t>
      </w: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spacing w:before="280" w:after="120"/>
        <w:rPr>
          <w:rFonts w:ascii="Inter Regular Bold" w:cs="Inter Regular Bold" w:hAnsi="Inter Regular Bold" w:eastAsia="Inter Regular Bold"/>
          <w:sz w:val="24"/>
          <w:szCs w:val="24"/>
        </w:rPr>
      </w:pPr>
      <w:r>
        <w:rPr>
          <w:rFonts w:ascii="Inter Regular Bold" w:hAnsi="Inter Regular Bold"/>
          <w:sz w:val="24"/>
          <w:szCs w:val="24"/>
          <w:rtl w:val="0"/>
          <w:lang w:val="de-DE"/>
        </w:rPr>
        <w:t>EXPERIENCE</w:t>
      </w:r>
    </w:p>
    <w:p>
      <w:pPr>
        <w:pStyle w:val="Body"/>
        <w:tabs>
          <w:tab w:val="right" w:pos="9026"/>
        </w:tabs>
        <w:spacing w:before="160"/>
      </w:pPr>
      <w:r>
        <w:rPr>
          <w:rFonts w:ascii="Inter Regular Bold" w:hAnsi="Inter Regular Bold"/>
          <w:rtl w:val="0"/>
          <w:lang w:val="en-US"/>
        </w:rPr>
        <w:t>CHG HEALTHCARE</w:t>
      </w:r>
      <w:r>
        <w:tab/>
      </w:r>
      <w:r>
        <w:rPr>
          <w:rtl w:val="0"/>
        </w:rPr>
        <w:t xml:space="preserve">Jan 2022 </w:t>
      </w:r>
      <w:r>
        <w:rPr>
          <w:rtl w:val="0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Body"/>
        <w:spacing w:after="80"/>
      </w:pPr>
      <w:r>
        <w:rPr>
          <w:i w:val="1"/>
          <w:iCs w:val="1"/>
          <w:rtl w:val="0"/>
          <w:lang w:val="en-US"/>
        </w:rPr>
        <w:t>Director, User Experience and Research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Authored the Experience Architect role and AISquad operating model: one Experience Architect, one product manager, one to two engineers. Piloted in fall 2025, currently rolling out across the digital marketing organization.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Designed and led a year-long internal AI curriculum for 20 designers and researchers covering AI fluency, designing for AI, and ongoing foresight practice.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Built and led a 21-person user experience design and research organization on a $3.25M annual budget, spanning seven major product initiatives across a healthcare staffing platform.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Architected an enterprise design system projected to deliver $19M in annual velocity value, reducing engineering front-end build time from 30% to 4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6% of capacity. Currently at 40% portfolio adoption, on track to 100% by 2027.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Advanced CHG's UX maturity from Level 1 to Level </w:t>
      </w:r>
      <w:r>
        <w:rPr>
          <w:rtl w:val="0"/>
        </w:rPr>
        <w:t>5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on the Nielsen Norman Group scale through structured discovery, a product triad operating model, and research-informed roadmap planning.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Championed a shift to native mobile applications for the provider audience after user research exposed critical behavior gaps. Mobile now exceeds web on engagement, contributing 3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5% to days booked at NPS 88.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Reunified design and research under a single leadership structure to support AI-integrated product work, with new behavior-specification capability built into the operating model.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Established UX as a strategic partner at the C-suite level, presenting directly to the CDO, Chief Growth Officer, and VP of Product.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Primary cross-functional facilitator running design thinking workshops and roadmap validation sessions that align product, engineering, and executive stakeholders around user-centered outcomes.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Owned full departmental P&amp;L: headcount, tooling, talent development, and annual planning with finance leadership.</w:t>
      </w:r>
    </w:p>
    <w:p>
      <w:pPr>
        <w:pStyle w:val="Body"/>
        <w:tabs>
          <w:tab w:val="right" w:pos="9026"/>
        </w:tabs>
        <w:spacing w:before="160"/>
      </w:pPr>
      <w:r>
        <w:rPr>
          <w:rFonts w:ascii="Inter Regular Bold" w:hAnsi="Inter Regular Bold"/>
          <w:rtl w:val="0"/>
          <w:lang w:val="en-US"/>
        </w:rPr>
        <w:t>CHG HEALTHCARE</w:t>
      </w:r>
      <w:r>
        <w:rPr>
          <w:rtl w:val="0"/>
          <w:lang w:val="fr-FR"/>
        </w:rPr>
        <w:tab/>
        <w:t xml:space="preserve">Dec 2017 </w:t>
      </w:r>
      <w:r>
        <w:rPr>
          <w:rtl w:val="0"/>
        </w:rPr>
        <w:t xml:space="preserve">– </w:t>
      </w:r>
      <w:r>
        <w:rPr>
          <w:rtl w:val="0"/>
        </w:rPr>
        <w:t>Jan 2022</w:t>
      </w:r>
    </w:p>
    <w:p>
      <w:pPr>
        <w:pStyle w:val="Body"/>
        <w:spacing w:after="80"/>
      </w:pPr>
      <w:r>
        <w:rPr>
          <w:i w:val="1"/>
          <w:iCs w:val="1"/>
          <w:rtl w:val="0"/>
          <w:lang w:val="en-US"/>
        </w:rPr>
        <w:t>Senior Manager / User Experience Manager, UX &amp; Research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Joined as CHG's first UX hire, transitioning the first digital product from agency to in-house and building the UX function from scratch.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Grew the team from 1 to 8 designers, built the case for UX Research as a distinct practice, and expanded to a combined team of 8 designers and 4 researchers.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Co-created a UX discovery playbook standardizing research methodology across all product teams; established shared design standards that became the foundation of the enterprise design system.</w:t>
      </w:r>
    </w:p>
    <w:p>
      <w:pPr>
        <w:pStyle w:val="Body"/>
        <w:tabs>
          <w:tab w:val="right" w:pos="9026"/>
        </w:tabs>
        <w:spacing w:before="160"/>
      </w:pPr>
      <w:r>
        <w:rPr>
          <w:rFonts w:ascii="Inter Regular Bold" w:hAnsi="Inter Regular Bold"/>
          <w:rtl w:val="0"/>
          <w:lang w:val="de-DE"/>
        </w:rPr>
        <w:t>EDSURGE</w:t>
      </w:r>
      <w:r>
        <w:rPr>
          <w:rtl w:val="0"/>
          <w:lang w:val="fr-FR"/>
        </w:rPr>
        <w:tab/>
        <w:t xml:space="preserve">Dec 2015 </w:t>
      </w:r>
      <w:r>
        <w:rPr>
          <w:rtl w:val="0"/>
        </w:rPr>
        <w:t xml:space="preserve">– </w:t>
      </w:r>
      <w:r>
        <w:rPr>
          <w:rtl w:val="0"/>
        </w:rPr>
        <w:t>Mar 2017</w:t>
      </w:r>
    </w:p>
    <w:p>
      <w:pPr>
        <w:pStyle w:val="Body"/>
        <w:spacing w:after="80"/>
      </w:pPr>
      <w:r>
        <w:rPr>
          <w:i w:val="1"/>
          <w:iCs w:val="1"/>
          <w:rtl w:val="0"/>
          <w:lang w:val="en-US"/>
        </w:rPr>
        <w:t>Lead Product Designer</w:t>
      </w:r>
    </w:p>
    <w:p>
      <w:pPr>
        <w:pStyle w:val="Body"/>
        <w:numPr>
          <w:ilvl w:val="0"/>
          <w:numId w:val="2"/>
        </w:numPr>
        <w:bidi w:val="0"/>
        <w:spacing w:before="40" w:after="8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Led UX strategy, rebranding, and full platform redesign for a venture-backed edtech startup; developed brand identity systems for subsidiary products.</w:t>
      </w:r>
    </w:p>
    <w:p>
      <w:pPr>
        <w:pStyle w:val="Body"/>
        <w:tabs>
          <w:tab w:val="right" w:pos="9026"/>
        </w:tabs>
        <w:spacing w:before="160"/>
      </w:pPr>
      <w:r>
        <w:rPr>
          <w:rFonts w:ascii="Inter Regular Bold" w:hAnsi="Inter Regular Bold"/>
          <w:rtl w:val="0"/>
          <w:lang w:val="en-US"/>
        </w:rPr>
        <w:t>YOUNOODLE</w:t>
      </w:r>
      <w:r>
        <w:rPr>
          <w:rtl w:val="0"/>
        </w:rPr>
        <w:tab/>
        <w:t xml:space="preserve">Sep 2011 </w:t>
      </w:r>
      <w:r>
        <w:rPr>
          <w:rtl w:val="0"/>
        </w:rPr>
        <w:t xml:space="preserve">– </w:t>
      </w:r>
      <w:r>
        <w:rPr>
          <w:rtl w:val="0"/>
          <w:lang w:val="en-US"/>
        </w:rPr>
        <w:t>Oct 2015</w:t>
      </w:r>
    </w:p>
    <w:p>
      <w:pPr>
        <w:pStyle w:val="Body"/>
        <w:spacing w:after="80"/>
      </w:pPr>
      <w:r>
        <w:rPr>
          <w:i w:val="1"/>
          <w:iCs w:val="1"/>
          <w:rtl w:val="0"/>
          <w:lang w:val="en-US"/>
        </w:rPr>
        <w:t>Lead User Experience Designer</w:t>
      </w:r>
    </w:p>
    <w:p>
      <w:pPr>
        <w:pStyle w:val="Body"/>
        <w:numPr>
          <w:ilvl w:val="0"/>
          <w:numId w:val="2"/>
        </w:numPr>
        <w:bidi w:val="0"/>
        <w:spacing w:before="40" w:after="4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Led platform rebranding and UX strategy across the product suite; translated user needs into organizational product strategy.</w:t>
      </w:r>
    </w:p>
    <w:p>
      <w:pPr>
        <w:pStyle w:val="Body"/>
        <w:tabs>
          <w:tab w:val="right" w:pos="9026"/>
        </w:tabs>
        <w:spacing w:before="160"/>
      </w:pPr>
      <w:r>
        <w:rPr>
          <w:rFonts w:ascii="Inter Regular Bold" w:hAnsi="Inter Regular Bold"/>
          <w:rtl w:val="0"/>
          <w:lang w:val="de-DE"/>
        </w:rPr>
        <w:t>FINDFRED</w:t>
      </w:r>
      <w:r>
        <w:rPr>
          <w:rtl w:val="0"/>
        </w:rPr>
        <w:tab/>
        <w:t xml:space="preserve">Jan 2009 </w:t>
      </w:r>
      <w:r>
        <w:rPr>
          <w:rtl w:val="0"/>
        </w:rPr>
        <w:t xml:space="preserve">– </w:t>
      </w:r>
      <w:r>
        <w:rPr>
          <w:rtl w:val="0"/>
        </w:rPr>
        <w:t>Sep 2011</w:t>
      </w:r>
    </w:p>
    <w:p>
      <w:pPr>
        <w:pStyle w:val="Body"/>
        <w:spacing w:after="80"/>
      </w:pPr>
      <w:r>
        <w:rPr>
          <w:i w:val="1"/>
          <w:iCs w:val="1"/>
          <w:rtl w:val="0"/>
          <w:lang w:val="en-US"/>
        </w:rPr>
        <w:t>Co-Founder &amp; Lead Designer</w:t>
      </w:r>
    </w:p>
    <w:p>
      <w:pPr>
        <w:pStyle w:val="Body"/>
        <w:numPr>
          <w:ilvl w:val="0"/>
          <w:numId w:val="2"/>
        </w:numPr>
        <w:bidi w:val="0"/>
        <w:spacing w:before="40" w:after="40"/>
        <w:ind w:right="0"/>
        <w:jc w:val="left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Co-founded a social matching startup; led UX design, brand identity, social media strategy, and national marketing campaigns across print and digital channels.</w:t>
      </w: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spacing w:before="280" w:after="120"/>
        <w:rPr>
          <w:rFonts w:ascii="Inter Regular Bold" w:cs="Inter Regular Bold" w:hAnsi="Inter Regular Bold" w:eastAsia="Inter Regular Bold"/>
          <w:sz w:val="24"/>
          <w:szCs w:val="24"/>
        </w:rPr>
      </w:pPr>
      <w:r>
        <w:rPr>
          <w:rFonts w:ascii="Inter Regular Bold" w:hAnsi="Inter Regular Bold"/>
          <w:sz w:val="24"/>
          <w:szCs w:val="24"/>
          <w:rtl w:val="0"/>
          <w:lang w:val="en-US"/>
        </w:rPr>
        <w:t>EDUCATION</w:t>
      </w:r>
    </w:p>
    <w:p>
      <w:pPr>
        <w:pStyle w:val="Body"/>
        <w:tabs>
          <w:tab w:val="right" w:pos="9026"/>
        </w:tabs>
        <w:spacing w:before="80"/>
      </w:pPr>
      <w:r>
        <w:rPr>
          <w:rFonts w:ascii="Inter Regular Bold" w:hAnsi="Inter Regular Bold"/>
          <w:rtl w:val="0"/>
          <w:lang w:val="en-US"/>
        </w:rPr>
        <w:t>West Virginia University</w:t>
      </w:r>
      <w:r>
        <w:rPr>
          <w:rtl w:val="0"/>
          <w:lang w:val="de-DE"/>
        </w:rPr>
        <w:tab/>
        <w:t xml:space="preserve">Aug 1999 </w:t>
      </w:r>
      <w:r>
        <w:rPr>
          <w:rtl w:val="0"/>
        </w:rPr>
        <w:t xml:space="preserve">– </w:t>
      </w:r>
      <w:r>
        <w:rPr>
          <w:rtl w:val="0"/>
          <w:lang w:val="en-US"/>
        </w:rPr>
        <w:t>May 2003</w:t>
      </w:r>
    </w:p>
    <w:p>
      <w:pPr>
        <w:pStyle w:val="Body"/>
        <w:spacing w:after="80"/>
      </w:pPr>
      <w:r>
        <w:rPr>
          <w:i w:val="1"/>
          <w:iCs w:val="1"/>
          <w:rtl w:val="0"/>
          <w:lang w:val="en-US"/>
        </w:rPr>
        <w:t>Bachelor of Science, Graphic Design</w:t>
      </w: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spacing w:before="280" w:after="120"/>
        <w:rPr>
          <w:rFonts w:ascii="Inter Regular Bold" w:cs="Inter Regular Bold" w:hAnsi="Inter Regular Bold" w:eastAsia="Inter Regular Bold"/>
          <w:sz w:val="24"/>
          <w:szCs w:val="24"/>
        </w:rPr>
      </w:pPr>
      <w:r>
        <w:rPr>
          <w:rFonts w:ascii="Inter Regular Bold" w:hAnsi="Inter Regular Bold"/>
          <w:sz w:val="24"/>
          <w:szCs w:val="24"/>
          <w:rtl w:val="0"/>
          <w:lang w:val="da-DK"/>
        </w:rPr>
        <w:t>SKILLS</w:t>
      </w:r>
    </w:p>
    <w:p>
      <w:pPr>
        <w:pStyle w:val="Body"/>
        <w:spacing w:after="100"/>
      </w:pPr>
      <w:r>
        <w:rPr>
          <w:rtl w:val="0"/>
          <w:lang w:val="en-US"/>
        </w:rPr>
        <w:t xml:space="preserve">UX Organization Design &amp; Scaling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Executive Stakeholder Management  </w:t>
      </w:r>
      <w:r>
        <w:rPr>
          <w:rtl w:val="0"/>
        </w:rPr>
        <w:t xml:space="preserve">•  </w:t>
      </w:r>
      <w:r>
        <w:rPr>
          <w:rtl w:val="0"/>
          <w:lang w:val="en-US"/>
        </w:rPr>
        <w:t>Budget &amp; P&amp;L Management</w:t>
      </w:r>
      <w:r>
        <w:br w:type="textWrapping"/>
      </w:r>
      <w:r>
        <w:rPr>
          <w:rtl w:val="0"/>
          <w:lang w:val="en-US"/>
        </w:rPr>
        <w:t xml:space="preserve">Talent Development &amp; Mentorship  </w:t>
      </w:r>
      <w:r>
        <w:rPr>
          <w:rtl w:val="0"/>
        </w:rPr>
        <w:t xml:space="preserve">•  </w:t>
      </w:r>
      <w:r>
        <w:rPr>
          <w:rtl w:val="0"/>
          <w:lang w:val="nl-NL"/>
        </w:rPr>
        <w:t xml:space="preserve">DesignOps  </w:t>
      </w:r>
      <w:r>
        <w:rPr>
          <w:rtl w:val="0"/>
        </w:rPr>
        <w:t xml:space="preserve">•  </w:t>
      </w:r>
      <w:r>
        <w:rPr>
          <w:rtl w:val="0"/>
          <w:lang w:val="nl-NL"/>
        </w:rPr>
        <w:t xml:space="preserve">Research Ops  </w:t>
      </w:r>
      <w:r>
        <w:rPr>
          <w:rtl w:val="0"/>
        </w:rPr>
        <w:t xml:space="preserve">•  </w:t>
      </w:r>
      <w:r>
        <w:rPr>
          <w:rtl w:val="0"/>
          <w:lang w:val="en-US"/>
        </w:rPr>
        <w:t>Organizational Change Management</w:t>
      </w:r>
      <w:r>
        <w:br w:type="textWrapping"/>
      </w:r>
      <w:r>
        <w:rPr>
          <w:rtl w:val="0"/>
          <w:lang w:val="en-US"/>
        </w:rPr>
        <w:t xml:space="preserve">Service Design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OKR &amp; KPI Alignment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Design Systems Architecture  </w:t>
      </w:r>
      <w:r>
        <w:rPr>
          <w:rtl w:val="0"/>
        </w:rPr>
        <w:t xml:space="preserve">•  </w:t>
      </w:r>
      <w:r>
        <w:rPr>
          <w:rtl w:val="0"/>
          <w:lang w:val="pt-PT"/>
        </w:rPr>
        <w:t>Design System Governance</w:t>
      </w:r>
      <w:r>
        <w:br w:type="textWrapping"/>
      </w:r>
      <w:r>
        <w:rPr>
          <w:rtl w:val="0"/>
          <w:lang w:val="en-US"/>
        </w:rPr>
        <w:t xml:space="preserve">AI-Integrated Product Development  </w:t>
      </w:r>
      <w:r>
        <w:rPr>
          <w:rtl w:val="0"/>
        </w:rPr>
        <w:t xml:space="preserve">•  </w:t>
      </w:r>
      <w:r>
        <w:rPr>
          <w:rtl w:val="0"/>
        </w:rPr>
        <w:t xml:space="preserve">GenAI Product Strategy  </w:t>
      </w:r>
      <w:r>
        <w:rPr>
          <w:rtl w:val="0"/>
        </w:rPr>
        <w:t xml:space="preserve">•  </w:t>
      </w:r>
      <w:r>
        <w:rPr>
          <w:rtl w:val="0"/>
          <w:lang w:val="en-US"/>
        </w:rPr>
        <w:t>LLM-Integrated UX</w:t>
      </w:r>
      <w:r>
        <w:rPr>
          <w:rtl w:val="0"/>
        </w:rPr>
        <w:t xml:space="preserve">  • </w:t>
      </w:r>
      <w:r>
        <w:rPr>
          <w:rtl w:val="0"/>
          <w:lang w:val="en-US"/>
        </w:rPr>
        <w:t xml:space="preserve">Research Strategy &amp; Roadmapping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Mixed-Methods Research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Continuous Discovery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Generative &amp; Evaluative Research  </w:t>
      </w:r>
      <w:r>
        <w:rPr>
          <w:rtl w:val="0"/>
        </w:rPr>
        <w:t xml:space="preserve">•  </w:t>
      </w:r>
      <w:r>
        <w:rPr>
          <w:rtl w:val="0"/>
          <w:lang w:val="en-US"/>
        </w:rPr>
        <w:t xml:space="preserve">Strategic Foresight  </w:t>
      </w:r>
      <w:r>
        <w:rPr>
          <w:rtl w:val="0"/>
        </w:rPr>
        <w:t xml:space="preserve">•  </w:t>
      </w:r>
      <w:r>
        <w:rPr>
          <w:rtl w:val="0"/>
        </w:rPr>
        <w:t xml:space="preserve">Research Repository Strategy  </w:t>
      </w:r>
      <w:r>
        <w:rPr>
          <w:rtl w:val="0"/>
        </w:rPr>
        <w:t xml:space="preserve">•  </w:t>
      </w:r>
      <w:r>
        <w:rPr>
          <w:rtl w:val="0"/>
          <w:lang w:val="en-US"/>
        </w:rPr>
        <w:t>Conversational &amp; Agentic UX</w:t>
      </w:r>
      <w:r>
        <w:rPr>
          <w:rtl w:val="0"/>
        </w:rPr>
        <w:t xml:space="preserve">  •  </w:t>
      </w:r>
      <w:r>
        <w:rPr>
          <w:rtl w:val="0"/>
          <w:lang w:val="en-US"/>
        </w:rPr>
        <w:t>Behavior Specification</w:t>
      </w:r>
      <w:r>
        <w:rPr>
          <w:rtl w:val="0"/>
        </w:rPr>
        <w:t xml:space="preserve">  •  </w:t>
      </w:r>
      <w:r>
        <w:rPr>
          <w:rtl w:val="0"/>
          <w:lang w:val="en-US"/>
        </w:rPr>
        <w:t xml:space="preserve">UX Maturity Development  </w:t>
      </w:r>
      <w:r>
        <w:rPr>
          <w:rtl w:val="0"/>
        </w:rPr>
        <w:t xml:space="preserve">•  </w:t>
      </w:r>
      <w:r>
        <w:rPr>
          <w:rtl w:val="0"/>
          <w:lang w:val="en-US"/>
        </w:rPr>
        <w:t>Product Triad Operating Model</w:t>
      </w:r>
      <w:r>
        <w:rPr>
          <w:rtl w:val="0"/>
        </w:rPr>
        <w:t xml:space="preserve">  •  </w:t>
      </w:r>
      <w:r>
        <w:rPr>
          <w:rtl w:val="0"/>
          <w:lang w:val="en-US"/>
        </w:rPr>
        <w:t>Workshop Facilitation</w:t>
      </w:r>
      <w:r>
        <w:rPr>
          <w:rtl w:val="0"/>
          <w:lang w:val="en-US"/>
        </w:rPr>
        <w:t xml:space="preserve">  •  </w:t>
      </w:r>
      <w:r>
        <w:rPr>
          <w:rtl w:val="0"/>
          <w:lang w:val="en-US"/>
        </w:rPr>
        <w:t xml:space="preserve">Voice of Customer (VoC)  </w:t>
      </w:r>
      <w:r>
        <w:rPr>
          <w:rtl w:val="0"/>
        </w:rPr>
        <w:t xml:space="preserve">•  </w:t>
      </w:r>
      <w:r>
        <w:rPr>
          <w:rtl w:val="0"/>
          <w:lang w:val="en-US"/>
        </w:rPr>
        <w:t>Cross-functional Leadershi</w:t>
      </w:r>
      <w:r>
        <w:rPr>
          <w:rtl w:val="0"/>
        </w:rPr>
        <w:t xml:space="preserve">p  </w:t>
      </w:r>
      <w:r>
        <w:rPr>
          <w:rtl w:val="0"/>
        </w:rPr>
        <w:t xml:space="preserve">•  </w:t>
      </w:r>
      <w:r>
        <w:rPr>
          <w:rtl w:val="0"/>
          <w:lang w:val="it-IT"/>
        </w:rPr>
        <w:t>Figma &amp; FigJam</w:t>
      </w: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spacing w:before="280" w:after="120"/>
        <w:rPr>
          <w:rFonts w:ascii="Inter Regular Bold" w:cs="Inter Regular Bold" w:hAnsi="Inter Regular Bold" w:eastAsia="Inter Regular Bold"/>
          <w:sz w:val="24"/>
          <w:szCs w:val="24"/>
        </w:rPr>
      </w:pPr>
      <w:r>
        <w:rPr>
          <w:rFonts w:ascii="Inter Regular Bold" w:hAnsi="Inter Regular Bold"/>
          <w:sz w:val="24"/>
          <w:szCs w:val="24"/>
          <w:rtl w:val="0"/>
          <w:lang w:val="de-DE"/>
        </w:rPr>
        <w:t>THOUGHT LEADERSHIP</w:t>
      </w:r>
    </w:p>
    <w:p>
      <w:pPr>
        <w:pStyle w:val="Body"/>
        <w:spacing w:after="80"/>
      </w:pPr>
      <w:r>
        <w:rPr>
          <w:rFonts w:ascii="Inter Regular Bold" w:hAnsi="Inter Regular Bold"/>
          <w:rtl w:val="0"/>
          <w:lang w:val="en-US"/>
        </w:rPr>
        <w:t xml:space="preserve">After the Interface </w:t>
      </w:r>
      <w:r>
        <w:rPr>
          <w:rtl w:val="0"/>
        </w:rPr>
        <w:t>-</w:t>
      </w:r>
      <w:r>
        <w:rPr>
          <w:rtl w:val="0"/>
          <w:lang w:val="en-US"/>
        </w:rPr>
        <w:t xml:space="preserve"> essay series on system governance, trust design, and the evolution of UX practice in the AI era. Published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"http://tateux.com"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tateux.com</w:t>
      </w:r>
      <w:r>
        <w:rPr/>
        <w:fldChar w:fldCharType="end" w:fldLock="0"/>
      </w:r>
      <w:r>
        <w:rPr>
          <w:rStyle w:val="None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720" w:right="1080" w:bottom="1080" w:left="108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nter Regular Regular">
    <w:charset w:val="00"/>
    <w:family w:val="roman"/>
    <w:pitch w:val="default"/>
  </w:font>
  <w:font w:name="Inter Regular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6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3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0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5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9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Inter Regular Regular" w:cs="Arial Unicode MS" w:hAnsi="Inter Regular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Inter Regular Regular" w:cs="Inter Regular Regular" w:hAnsi="Inter Regular Regular" w:eastAsia="Inter Regular Regular"/>
      <w:outline w:val="0"/>
      <w:color w:val="1155cc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